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D604" w14:textId="77777777" w:rsidR="00D06E38" w:rsidRPr="00EA5CB4" w:rsidRDefault="00D06E38" w:rsidP="00D06E38">
      <w:pPr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r w:rsidRPr="00EA5CB4">
        <w:rPr>
          <w:rFonts w:ascii="Hind Regular" w:hAnsi="Hind Regular" w:cs="Hind Regular"/>
          <w:b/>
          <w:sz w:val="24"/>
          <w:szCs w:val="24"/>
          <w:lang w:val="hu-HU"/>
        </w:rPr>
        <w:t xml:space="preserve">ÉRDEKMÉRLEGELÉSI TESZT </w:t>
      </w:r>
    </w:p>
    <w:p w14:paraId="403F11E6" w14:textId="67BC6DB5" w:rsidR="00D06E38" w:rsidRPr="00EA5CB4" w:rsidRDefault="002A4C9C" w:rsidP="00F0086A">
      <w:pPr>
        <w:spacing w:after="200"/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proofErr w:type="gramStart"/>
      <w:r>
        <w:rPr>
          <w:rFonts w:ascii="Hind Regular" w:hAnsi="Hind Regular" w:cs="Hind Regular"/>
          <w:b/>
          <w:sz w:val="24"/>
          <w:szCs w:val="24"/>
          <w:lang w:val="hu-HU"/>
        </w:rPr>
        <w:t>a</w:t>
      </w:r>
      <w:proofErr w:type="gramEnd"/>
      <w:r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Chili </w:t>
      </w:r>
      <w:proofErr w:type="spellStart"/>
      <w:r w:rsidR="00F0086A">
        <w:rPr>
          <w:rFonts w:ascii="Hind Regular" w:hAnsi="Hind Regular" w:cs="Hind Regular"/>
          <w:b/>
          <w:sz w:val="24"/>
          <w:szCs w:val="24"/>
          <w:lang w:val="hu-HU"/>
        </w:rPr>
        <w:t>Fitness</w:t>
      </w:r>
      <w:proofErr w:type="spellEnd"/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565B0E">
        <w:rPr>
          <w:rFonts w:ascii="Hind Regular" w:hAnsi="Hind Regular" w:cs="Hind Regular"/>
          <w:b/>
          <w:sz w:val="24"/>
          <w:szCs w:val="24"/>
          <w:lang w:val="hu-HU"/>
        </w:rPr>
        <w:t>3</w:t>
      </w:r>
      <w:bookmarkStart w:id="0" w:name="_GoBack"/>
      <w:bookmarkEnd w:id="0"/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által üzemeltett </w:t>
      </w:r>
      <w:r w:rsidR="00F0086A" w:rsidRP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kamerás megfigyelőrendszerhez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kapcsolódó adatkezelés </w:t>
      </w:r>
      <w:r w:rsidR="00877CDE" w:rsidRPr="00877CDE">
        <w:rPr>
          <w:rFonts w:ascii="Hind Regular" w:hAnsi="Hind Regular" w:cs="Hind Regular"/>
          <w:b/>
          <w:sz w:val="24"/>
          <w:szCs w:val="24"/>
          <w:lang w:val="hu-HU"/>
        </w:rPr>
        <w:t>tárgyában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57"/>
        <w:gridCol w:w="6005"/>
      </w:tblGrid>
      <w:tr w:rsidR="00D06E38" w:rsidRPr="00466D8C" w14:paraId="34D5851B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E9E721B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célja: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2232586" w14:textId="77777777" w:rsidR="00E7681B" w:rsidRPr="00E7681B" w:rsidRDefault="00E7681B" w:rsidP="00E7681B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A kamerarendszer üzemeltetése</w:t>
            </w:r>
          </w:p>
          <w:p w14:paraId="09634359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személy- és vagyonvédelem garantálását;</w:t>
            </w:r>
          </w:p>
          <w:p w14:paraId="401B739D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jogsértések, így különösen a vagyon elleni bűncselekmények, a tulajdon elleni szabálysértések, az élet, a testi épség és az egészség elleni bűncselekmények, illetve a köznyugalom elleni bűncselekmények megelőzését;</w:t>
            </w:r>
          </w:p>
          <w:p w14:paraId="782F3668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elkövetőjének felderítését;</w:t>
            </w:r>
          </w:p>
          <w:p w14:paraId="464734F5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bizonyítását;</w:t>
            </w:r>
          </w:p>
          <w:p w14:paraId="34C77A8A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balesetek vagy káresemények körülményeinek tisztázását</w:t>
            </w:r>
          </w:p>
          <w:p w14:paraId="2F8C4F93" w14:textId="74FD9DDC" w:rsidR="00D06E38" w:rsidRPr="00E7681B" w:rsidRDefault="00E7681B" w:rsidP="00413712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segíti elő.</w:t>
            </w:r>
          </w:p>
        </w:tc>
      </w:tr>
      <w:tr w:rsidR="00D06E38" w:rsidRPr="00466D8C" w14:paraId="370C47EE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E603A5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időtartama: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4CAA29A4" w14:textId="013F988F" w:rsidR="00CA323F" w:rsidRPr="00EA5CB4" w:rsidRDefault="00164251" w:rsidP="009353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Az Adatkezelő a kamerafelvételeket </w:t>
            </w:r>
            <w:r w:rsidR="00CE2AE7">
              <w:rPr>
                <w:rFonts w:ascii="Hind Regular" w:hAnsi="Hind Regular" w:cs="Hind Regular"/>
                <w:sz w:val="20"/>
                <w:szCs w:val="20"/>
              </w:rPr>
              <w:t>24</w:t>
            </w: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 óráig őrzi meg, ezen időtartam elteltével – felhasználás hiányában – a rendszer azokat automatikusan felülírja. A megfigyelés kapcsán észlelt incidens esetén az adatkezelés a szükséges eljárás lefolytatásáig tart. </w:t>
            </w:r>
          </w:p>
        </w:tc>
      </w:tr>
      <w:tr w:rsidR="00D06E38" w:rsidRPr="00466D8C" w14:paraId="2E439361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D3036A5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Kezelt adatok köre: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DAD5931" w14:textId="339A979A" w:rsidR="00D06E38" w:rsidRPr="00EA5CB4" w:rsidRDefault="009B2C98" w:rsidP="001271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B2C98">
              <w:rPr>
                <w:rFonts w:ascii="Hind Regular" w:hAnsi="Hind Regular" w:cs="Hind Regular"/>
                <w:sz w:val="20"/>
                <w:szCs w:val="20"/>
              </w:rPr>
              <w:t>Az adatkezelés céljainak elérése érdekében az Adatkezelő kezeli az egyes kamerák által megfigyelt területre belépő és ott tartózkodó személy (a továbbiakban: Érintett) képmását, felvételen látható tevékenységét, valamint az abból esetlegesen rá vonatkozóan levonható következtetéseket is, a helyszínt, időpontot és a CAM ID-t.</w:t>
            </w:r>
          </w:p>
        </w:tc>
      </w:tr>
      <w:tr w:rsidR="00D06E38" w:rsidRPr="00466D8C" w14:paraId="46CEA92A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179BD5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jogalapja: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666188EC" w14:textId="637A9B59" w:rsidR="00CA323F" w:rsidRPr="009B2C98" w:rsidRDefault="009B2C98" w:rsidP="009B2C98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9B2C98">
              <w:rPr>
                <w:rFonts w:ascii="Hind Regular" w:eastAsia="KDB_GothicR" w:hAnsi="Hind Regular" w:cs="Hind Regular"/>
                <w:sz w:val="20"/>
                <w:szCs w:val="20"/>
              </w:rPr>
              <w:t>Az adatkezelés jogalapja az Adatkezelő fizikai biztonság (személy- és vagyonvédelem) garantáláshoz, illetve annak sérülése esetén a jogkövetkezmények megállapításának lehetővé tételéhez fűződő jogos érdeke az Európai Parlament és a Tanács 2016. április 27-i (EU) 2016/679 Rendelete (a továbbiakban: GDPR) 6. cikk (1) bekezdés f) pontja alapján.</w:t>
            </w:r>
          </w:p>
        </w:tc>
      </w:tr>
      <w:tr w:rsidR="00D06E38" w:rsidRPr="0015160F" w14:paraId="35324B6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13C8B8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Személyes adatok címzettjei: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2072FD5" w14:textId="77777777" w:rsidR="004D5167" w:rsidRPr="004D5167" w:rsidRDefault="004D5167" w:rsidP="004D5167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Az Adatkezelő nem továbbít személyes adatot más címzett részére.</w:t>
            </w:r>
          </w:p>
          <w:p w14:paraId="0AC1504D" w14:textId="5F48B4C5" w:rsidR="00D06E38" w:rsidRPr="004D5167" w:rsidRDefault="004D5167" w:rsidP="00763FBE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GDPR 4. cikk 9. pontja értelmében címzett az, akivel az adatkezelőn kívül közlik a személyes adatokat. Nem tekinthető adatkezelőn kívüli közlésnek az, ha az adatkezelő munkavállalói hozzáférnek a személyes adathoz, így ők nem lehetnek az adattovábbítás címzettjei.</w:t>
            </w:r>
            <w:r w:rsidRPr="004D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definíció kiveszi a címzettek közül az olyan közhatalmi szerveket, amelyek valamely jogszabály által meghatározott eljárásuk keretében, jogszabályi felhatalmazás útján férnek hozzá a személyes adatokhoz, így például a nyomozóhatóságok nem tekinthetők címzettnek.</w:t>
            </w:r>
          </w:p>
        </w:tc>
      </w:tr>
      <w:tr w:rsidR="00D06E38" w:rsidRPr="00466D8C" w14:paraId="2C9F9F8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584757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Adattovábbítás harmadik országba/nemzetközi szervezetek részére: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59A5445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Adatkezelő az adatkezeléssel összefüggésben nem továbbít személyes adatot harmadik országokba/nemzetközi szervezetek részére.</w:t>
            </w:r>
          </w:p>
        </w:tc>
      </w:tr>
      <w:tr w:rsidR="00D06E38" w:rsidRPr="00466D8C" w14:paraId="49E3BA58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2B8BED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Automatizált döntéshozatal: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047CFC32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adatkezeléssel összefüggésben automatizált döntéshozatalra nem kerül sor.</w:t>
            </w:r>
          </w:p>
        </w:tc>
      </w:tr>
      <w:tr w:rsidR="00D06E38" w:rsidRPr="00466D8C" w14:paraId="517D6220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070AAEF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Biztosítékok: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D5A6FBC" w14:textId="0ED4DFC4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Az Adatkezelő biztosítja a személyes adatok kezelésére vonatkozó elvek (GDPR 5. cikk) maradéktalan érvényesülését az adatkezelési 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lastRenderedPageBreak/>
              <w:t>folyamatban, illetve biztosítja az Érintett részére a GDPR 15-21. cikkei szerinti jogai gyakorlását</w:t>
            </w:r>
            <w:r w:rsidR="0006357A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</w:tc>
      </w:tr>
      <w:tr w:rsidR="00D06E38" w:rsidRPr="00466D8C" w14:paraId="4B088518" w14:textId="77777777" w:rsidTr="00D06E38">
        <w:tc>
          <w:tcPr>
            <w:tcW w:w="9062" w:type="dxa"/>
            <w:gridSpan w:val="2"/>
          </w:tcPr>
          <w:p w14:paraId="522A55DE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/>
              <w:ind w:left="284" w:hanging="284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lastRenderedPageBreak/>
              <w:t>Az Adatkezelő jogos érdekének meghatározása</w:t>
            </w:r>
          </w:p>
          <w:p w14:paraId="567469B7" w14:textId="58FDDD89" w:rsidR="00C21977" w:rsidRPr="00EA5CB4" w:rsidRDefault="00763FBE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</w:t>
            </w:r>
            <w:r w:rsidR="00413712">
              <w:rPr>
                <w:rFonts w:ascii="Hind Regular" w:hAnsi="Hind Regular" w:cs="Hind Regular"/>
                <w:sz w:val="20"/>
                <w:szCs w:val="20"/>
              </w:rPr>
              <w:t>z Adatkezelőnek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jogos érdeke fűződik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>a biztonságos működés megvalósításához, a biztonságot veszé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lyeztető jogsértő magatartások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 xml:space="preserve">felderítéséhez, 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857ABE" w:rsidRPr="00857ABE">
              <w:rPr>
                <w:rFonts w:ascii="Hind Regular" w:hAnsi="Hind Regular" w:cs="Hind Regular"/>
                <w:sz w:val="20"/>
                <w:szCs w:val="20"/>
              </w:rPr>
              <w:t>fizikai biztonság (személy- és vagyonvédelem) garantáláshoz, illetve annak sérülése esetén a jogkövetkezmények megállapításának lehetővé tételéhez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. </w:t>
            </w:r>
          </w:p>
        </w:tc>
      </w:tr>
      <w:tr w:rsidR="00D06E38" w:rsidRPr="00466D8C" w14:paraId="1C5129F5" w14:textId="77777777" w:rsidTr="00D06E38">
        <w:tc>
          <w:tcPr>
            <w:tcW w:w="9062" w:type="dxa"/>
            <w:gridSpan w:val="2"/>
          </w:tcPr>
          <w:p w14:paraId="20E6CDFA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t>Az Érintett érdekeinek, alapvető jogainak és szabadságainak meghatározása</w:t>
            </w:r>
          </w:p>
          <w:p w14:paraId="5178A4A5" w14:textId="519C6531" w:rsidR="00D06E38" w:rsidRPr="004A6F91" w:rsidRDefault="00C21977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Az adatkezelés az É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 xml:space="preserve">rintett információs önrendelkezéshez való 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jogát érinti, amely végső soron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emberi méltósághoz való alapvető emberi jogból le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vezetett jogosultság.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méltósághoz való jog azonban az élethez való jog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gal együtt élvez abszolút, azaz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korlátozhatatlan védelmet. Emellett az Alkotmánybíróság állan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dó gyakorlata alapján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méltóságból levezetett egyes jogosultságok, úgymint jelen 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setben az önrendelkezéshez való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jog, annak személyes adatokkal való rendelkezésének aspek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tusa szükséges és arányos módon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korlátozható.</w:t>
            </w:r>
            <w:r w:rsidR="00677778">
              <w:t xml:space="preserve">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Érintettnek védelmet élvező érdeke fűződik ahhoz, hogy információs önrendelkezési jogát gyakorolhassa, saját személyes adatainak mások általi kezeléséről maga rendelkezhessen, magánszféráját tiszteletben tartsák, személyiségi joga akkor legye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n korlátozva, ha a korlátozás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feltétlenül szükséges és a cél elérésével arányos, az információs önrendelkezési jog érvényesítését elősegítő, illetve a személyes adatok védelmét biztosító jogszabályi rendelkezések érvényesüljenek.</w:t>
            </w:r>
          </w:p>
        </w:tc>
      </w:tr>
      <w:tr w:rsidR="00D06E38" w:rsidRPr="00862EEF" w14:paraId="1E448A3A" w14:textId="77777777" w:rsidTr="00D06E38">
        <w:tc>
          <w:tcPr>
            <w:tcW w:w="9062" w:type="dxa"/>
            <w:gridSpan w:val="2"/>
          </w:tcPr>
          <w:p w14:paraId="70C35193" w14:textId="77777777" w:rsidR="00D06E38" w:rsidRPr="004A3A2B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jc w:val="both"/>
              <w:rPr>
                <w:rFonts w:ascii="Hind Regular" w:hAnsi="Hind Regular"/>
                <w:b/>
                <w:sz w:val="20"/>
                <w:szCs w:val="20"/>
              </w:rPr>
            </w:pPr>
            <w:r w:rsidRPr="004A3A2B">
              <w:rPr>
                <w:rFonts w:ascii="Hind Regular" w:hAnsi="Hind Regular"/>
                <w:b/>
                <w:sz w:val="20"/>
                <w:szCs w:val="20"/>
              </w:rPr>
              <w:t>Az érdekmérlegelés eredménye</w:t>
            </w:r>
          </w:p>
          <w:p w14:paraId="1E1862E9" w14:textId="0116F68E" w:rsidR="00353262" w:rsidRDefault="007C1DFD" w:rsidP="00CA7ACF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7C1DFD">
              <w:rPr>
                <w:rFonts w:ascii="Hind Regular" w:hAnsi="Hind Regular" w:cs="Hind Regular"/>
                <w:i/>
                <w:sz w:val="20"/>
                <w:szCs w:val="20"/>
              </w:rPr>
              <w:t>jogos érdek megfelelően konkrét</w:t>
            </w: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, az érdekmérlegelési teszt 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pontosan meghatározza, hogy </w:t>
            </w:r>
            <w:r w:rsidR="00045424">
              <w:rPr>
                <w:rFonts w:ascii="Hind Regular" w:hAnsi="Hind Regular" w:cs="Hind Regular"/>
                <w:sz w:val="20"/>
                <w:szCs w:val="20"/>
              </w:rPr>
              <w:t>az Adatkezelő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létesítményeiben a személyi és vagy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oni védelem megvalósulásához, biztonsági incidensre utaló gyanú kivizsgálásához szükséges az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érdekmérlegelés tárgyát képező adatkezelési tevékenység végzése.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Biztonsági incidensnek minősül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minden olyan esemény, amely a fizika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i biztonságra nézve potenciális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fenyegetést jelent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(pl. szabálysértés, bűncselekmény, baleset stb.).</w:t>
            </w:r>
          </w:p>
          <w:p w14:paraId="0B067FAA" w14:textId="0FF32649" w:rsidR="002E1AE1" w:rsidRDefault="00993FB5" w:rsidP="002B21CD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proofErr w:type="gramStart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jogos érdek valódi</w:t>
            </w:r>
            <w:r w:rsidR="007E5D55">
              <w:rPr>
                <w:rFonts w:ascii="Hind Regular" w:hAnsi="Hind Regular" w:cs="Hind Regular"/>
                <w:i/>
                <w:sz w:val="20"/>
                <w:szCs w:val="20"/>
              </w:rPr>
              <w:t xml:space="preserve"> és aktuális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, hiszen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biztonságos működésének alapja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a tervezési, szervezési, irányítá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si, végrehajtási és ellenőrzési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feltételekről való gondoskodás, amely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aját tulajdonú eszközeinek, más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fontos érdekeinek, értékeinek, valamint a kezelésében lévő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, illetve bérbe vett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idege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n tulajdonú értékeknek, továbbá az Érintettek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személyi tulajdonának és személyes biztonságának védelmét, illetve az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Érintetteket 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területén veszélyeztető jogsértő magatart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ások megelőzését, felderítését,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illetve folytatás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ának megakadályozását szolgálja.</w:t>
            </w:r>
            <w:proofErr w:type="gramEnd"/>
          </w:p>
          <w:p w14:paraId="1B6465AE" w14:textId="57AD9B47" w:rsidR="003942AC" w:rsidRDefault="003942AC" w:rsidP="003942AC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3942AC">
              <w:rPr>
                <w:rFonts w:ascii="Hind Regular" w:hAnsi="Hind Regular" w:cs="Hind Regular"/>
                <w:sz w:val="20"/>
                <w:szCs w:val="20"/>
              </w:rPr>
              <w:t>A jogos érdek valódi, hiszen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személy- és vagyonvédelem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jogszabályok által is meghatározott, valódi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védendő érdekek,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létesítményeiben felmerülő rendkívüli eseményekre ut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aló gyanú kivizsgálásához pedig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alapvető gazdasá</w:t>
            </w:r>
            <w:r>
              <w:rPr>
                <w:rFonts w:ascii="Hind Regular" w:hAnsi="Hind Regular" w:cs="Hind Regular"/>
                <w:sz w:val="20"/>
                <w:szCs w:val="20"/>
              </w:rPr>
              <w:t>gi és üzleti érdeke fűződik az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datkezelőnek.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jogos érdek aktuális, hiszen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mind a személy- és vagyonvédelem, </w:t>
            </w:r>
            <w:r>
              <w:rPr>
                <w:rFonts w:ascii="Hind Regular" w:hAnsi="Hind Regular" w:cs="Hind Regular"/>
                <w:sz w:val="20"/>
                <w:szCs w:val="20"/>
              </w:rPr>
              <w:t>mind pedig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 rendkí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vüli események kivizsgálása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gyakorlatában állandóan, folyamatosan vagy rendszerint 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lőforduló szükségleten, illetve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eseményeken alapszik.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Rendkívüli esemény minden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olyan biztonsági inc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idens, amely magában hordozza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rendeltetésszerű működésének, tevékenysége ellátásának akadá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lyozását (például az ügyintézés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nyugalmának megzavarását vagy félelemkeltést), szem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élyek életének, testi épségének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veszélyeztetését, súlyos vagyoni kár vagy üzleti veszteség lehetőségét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. Az Adatkezelő létesítményeiben jelentős, illetve különösen nagy összértékű sporteszközök és sportberendezések találhatóak. </w:t>
            </w:r>
          </w:p>
          <w:p w14:paraId="4ED1AE5E" w14:textId="343D787C" w:rsidR="00AF357D" w:rsidRDefault="002B42D2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2B42D2">
              <w:rPr>
                <w:rFonts w:ascii="Hind Regular" w:hAnsi="Hind Regular" w:cs="Hind Regular"/>
                <w:sz w:val="20"/>
                <w:szCs w:val="20"/>
              </w:rPr>
              <w:t xml:space="preserve">Az igazság megállapításának igénye, a bűncselekmények sértettjeinek fokozott védelme, valamint jogaik érvényesítése törvény által védett érdek. Az Adatkezelőnek jogos érdeke fűződik ahhoz, hogy 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jogsértő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 tevékenységeket megakadályozza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, illetve ennek megtörténte esetén az őt ért jogsérelemre a jogrendszer által biztosított jogorvoslati lehetőségeket igénybe vehesse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illetve a területén tartózkodókat ért jogsérelem esetén aktívan </w:t>
            </w:r>
            <w:proofErr w:type="spellStart"/>
            <w:r w:rsidR="00BC3FE2">
              <w:rPr>
                <w:rFonts w:ascii="Hind Regular" w:hAnsi="Hind Regular" w:cs="Hind Regular"/>
                <w:sz w:val="20"/>
                <w:szCs w:val="20"/>
              </w:rPr>
              <w:t>közreműködjön</w:t>
            </w:r>
            <w:proofErr w:type="spellEnd"/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 a jogsértés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felderítésében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az 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lkövető kilétének megállapításában és a bizonyítékok rendelkezésre bocsátásában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.</w:t>
            </w:r>
            <w:r w:rsidR="00A074A6">
              <w:t xml:space="preserve">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A reputációs kockázat az Adatkezelő jó hírnevének csorbulását jelenti, ezért font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os, hogy igyekezzen megelőzni a jogsértéseket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, hiszen az ezek által okozott kedvezőtle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n médiahírek bizalomvesztéshez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 xml:space="preserve">vezethetnek (pénzügyi, gazdasági érdeksérelem), ami aztán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üzletmenetében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krízis- és válsághelyzetet eredményezhet.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</w:p>
          <w:p w14:paraId="523FFF68" w14:textId="1B5B968F" w:rsidR="002E1AE1" w:rsidRDefault="00D55F06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Vitathatatlan tény, hogy manapság rengetegen járnak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konditerembe edzeni. Ez nag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yon jó dolog, hiszen ezáltal fejleszthető az izomzat, erőnlét.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>Azonban nagyon fonto</w:t>
            </w:r>
            <w:r>
              <w:rPr>
                <w:rFonts w:ascii="Hind Regular" w:hAnsi="Hind Regular" w:cs="Hind Regular"/>
                <w:sz w:val="20"/>
                <w:szCs w:val="20"/>
              </w:rPr>
              <w:t>s odafigyelni a testi épségre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is, hiszen könnyű megsérülni az edzőterem ártalmatlannak tűnő gépezetei között.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Rengeteg ember használja a konditerem berendezéseit </w:t>
            </w:r>
            <w:proofErr w:type="gramStart"/>
            <w:r w:rsidRPr="00D55F06">
              <w:rPr>
                <w:rFonts w:ascii="Hind Regular" w:hAnsi="Hind Regular" w:cs="Hind Regular"/>
                <w:sz w:val="20"/>
                <w:szCs w:val="20"/>
              </w:rPr>
              <w:t>nap</w:t>
            </w:r>
            <w:proofErr w:type="gram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mint nap. Ezáltal megvan az esély arra, hogy az eszközök </w:t>
            </w:r>
            <w:proofErr w:type="spellStart"/>
            <w:r w:rsidRPr="00D55F06">
              <w:rPr>
                <w:rFonts w:ascii="Hind Regular" w:hAnsi="Hind Regular" w:cs="Hind Regular"/>
                <w:sz w:val="20"/>
                <w:szCs w:val="20"/>
              </w:rPr>
              <w:t>meghibásodjanak</w:t>
            </w:r>
            <w:proofErr w:type="spell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, ezáltal </w:t>
            </w:r>
            <w:r>
              <w:rPr>
                <w:rFonts w:ascii="Hind Regular" w:hAnsi="Hind Regular" w:cs="Hind Regular"/>
                <w:sz w:val="20"/>
                <w:szCs w:val="20"/>
              </w:rPr>
              <w:t>veszélyeztessék az egészséget. Az Adatkezelőnek tehát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jogos érdeke fűződik ahhoz, hogy a területén bekövetkezett baleseteket mielőbb kivizsgálhassa és a </w:t>
            </w:r>
            <w:r w:rsidR="00AF357D" w:rsidRPr="00AF357D">
              <w:rPr>
                <w:rFonts w:ascii="Hind Regular" w:hAnsi="Hind Regular" w:cs="Hind Regular"/>
                <w:sz w:val="20"/>
                <w:szCs w:val="20"/>
              </w:rPr>
              <w:t xml:space="preserve">balesetvizsgálat során feltárt hiányosságokat minden esetben 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>megszüntesse.</w:t>
            </w:r>
          </w:p>
          <w:p w14:paraId="333D81BF" w14:textId="1659D837" w:rsidR="00993FB5" w:rsidRPr="00EA5CB4" w:rsidRDefault="00993FB5" w:rsidP="00993FB5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fentiek alapján a jogos érdek fennáll, így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 szükségesség kérdése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  <w:p w14:paraId="7B89D580" w14:textId="34FBAAF5" w:rsidR="009D605D" w:rsidRDefault="009D605D" w:rsidP="009D605D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D605D">
              <w:rPr>
                <w:rFonts w:ascii="Hind Regular" w:hAnsi="Hind Regular" w:cs="Hind Regular"/>
                <w:sz w:val="20"/>
                <w:szCs w:val="20"/>
              </w:rPr>
              <w:t>A</w:t>
            </w:r>
            <w:r>
              <w:rPr>
                <w:rFonts w:ascii="Hind Regular" w:hAnsi="Hind Regular" w:cs="Hind Regular"/>
                <w:sz w:val="20"/>
                <w:szCs w:val="20"/>
              </w:rPr>
              <w:t>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sikeres üzletmenete, jó hírneve alapvetően függ attól, hogy szolgáltatásait megbízhatóan, folyamatosan, zavartalanul és nem utolsó sorban biztonságos módon legyen képes nyújtani. Enne</w:t>
            </w:r>
            <w:r>
              <w:rPr>
                <w:rFonts w:ascii="Hind Regular" w:hAnsi="Hind Regular" w:cs="Hind Regular"/>
                <w:sz w:val="20"/>
                <w:szCs w:val="20"/>
              </w:rPr>
              <w:t>k megfelelően a biztonság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lényegéhe</w:t>
            </w:r>
            <w:r>
              <w:rPr>
                <w:rFonts w:ascii="Hind Regular" w:hAnsi="Hind Regular" w:cs="Hind Regular"/>
                <w:sz w:val="20"/>
                <w:szCs w:val="20"/>
              </w:rPr>
              <w:t>z tartozó állapot, erre épül a „vendégek”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bizalma. A biztonság sta</w:t>
            </w:r>
            <w:r>
              <w:rPr>
                <w:rFonts w:ascii="Hind Regular" w:hAnsi="Hind Regular" w:cs="Hind Regular"/>
                <w:sz w:val="20"/>
                <w:szCs w:val="20"/>
              </w:rPr>
              <w:t>bil, demonstrálható fenntartása és megóvása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alapvető érdeke, eredményes működésének sarkalatos feltétele, s mint ilyen, az üzleti kondíciókk</w:t>
            </w:r>
            <w:r>
              <w:rPr>
                <w:rFonts w:ascii="Hind Regular" w:hAnsi="Hind Regular" w:cs="Hind Regular"/>
                <w:sz w:val="20"/>
                <w:szCs w:val="20"/>
              </w:rPr>
              <w:t>al egyenrangú kezelést igényel. Az Adatkezelő hálózatának létesítményei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önmagukban és az általuk befogadott eszközök, szolgáltatások, valamint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z ezeket működtető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személyzet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felhasználó vendégkör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révén igen jelentős értéket képviselnek. Ezeknek az értékeknek a védelme – tekintettel a nagy értékkoncentrációból fakadó kockázatokra – különösen indokolttá teszi az említett objektumok kieme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lt mechanikai, elektronikai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védelmét. Ezek a védelmi megoldások csak egymásra épülve, egymást kiegészítve </w:t>
            </w:r>
            <w:r>
              <w:rPr>
                <w:rFonts w:ascii="Hind Regular" w:hAnsi="Hind Regular" w:cs="Hind Regular"/>
                <w:sz w:val="20"/>
                <w:szCs w:val="20"/>
              </w:rPr>
              <w:t>biztosíthatják a felsorolt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értékek kockázatarányos v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édelmét.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CCTV rendszereknél alkalmazott DVR, mint megfigyelő, távfelügyeletet biztosító eszköz az elektronikai védelem egyik legfontosabb megoldása. A képfelvevő elektronikus megfigyelőrendszer által történő rögzítés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személy-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vagyonvédelem garantálását;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jogsértések, így különösen a vagyon elleni bűncselekmények, a tulajdon elleni szabálysértések, az élet, a testi épség és az egészség elleni bűncselekmények, illetve a köznyugalom elle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ni bűncselekmények megelőzését;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 elkövetőjének felderíté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sét; a jogsértés bizonyítását;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balesetek vagy káresemé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nyek körülményeinek tisztázását </w:t>
            </w:r>
            <w:r w:rsidR="005A2A87">
              <w:rPr>
                <w:rFonts w:ascii="Hind Regular" w:hAnsi="Hind Regular" w:cs="Hind Regular"/>
                <w:sz w:val="20"/>
                <w:szCs w:val="20"/>
              </w:rPr>
              <w:t>segíti 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. E célok eléréséhez a zártláncú kamerarendszer működtetése döntő mértékben járul hozzá, hiszen az események jelentős része megelőzhető, ha az esetleges elkövetők tudják, hogy a cselekményüket kamera fogja rögzíteni, a bekövetkezett </w:t>
            </w:r>
            <w:r w:rsidR="001F12FE">
              <w:rPr>
                <w:rFonts w:ascii="Hind Regular" w:hAnsi="Hind Regular" w:cs="Hind Regular"/>
                <w:sz w:val="20"/>
                <w:szCs w:val="20"/>
              </w:rPr>
              <w:t>(kár</w:t>
            </w:r>
            <w:proofErr w:type="gramStart"/>
            <w:r w:rsidR="001F12FE">
              <w:rPr>
                <w:rFonts w:ascii="Hind Regular" w:hAnsi="Hind Regular" w:cs="Hind Regular"/>
                <w:sz w:val="20"/>
                <w:szCs w:val="20"/>
              </w:rPr>
              <w:t>)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események</w:t>
            </w:r>
            <w:proofErr w:type="gramEnd"/>
            <w:r w:rsidRPr="009D605D">
              <w:rPr>
                <w:rFonts w:ascii="Hind Regular" w:hAnsi="Hind Regular" w:cs="Hind Regular"/>
                <w:sz w:val="20"/>
                <w:szCs w:val="20"/>
              </w:rPr>
              <w:t>, jogsértések jelentős része pedig kivizsgálható a képfelvételek megtekintésével.</w:t>
            </w:r>
          </w:p>
          <w:p w14:paraId="71506D37" w14:textId="43ADC3DD" w:rsidR="00135947" w:rsidRPr="00EA5CB4" w:rsidRDefault="00993FB5" w:rsidP="00135947">
            <w:pPr>
              <w:spacing w:before="120" w:after="120"/>
              <w:jc w:val="both"/>
              <w:rPr>
                <w:rFonts w:ascii="Hind Regular" w:hAnsi="Hind Regular" w:cs="Hind Regular"/>
                <w:i/>
                <w:sz w:val="20"/>
                <w:szCs w:val="20"/>
              </w:rPr>
            </w:pPr>
            <w:proofErr w:type="spellStart"/>
            <w:r w:rsidRPr="00EA5CB4">
              <w:rPr>
                <w:rFonts w:ascii="Hind Regular" w:hAnsi="Hind Regular" w:cs="Hind Regular"/>
                <w:sz w:val="20"/>
                <w:szCs w:val="20"/>
              </w:rPr>
              <w:t>Mindezek</w:t>
            </w:r>
            <w:proofErr w:type="spellEnd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 alapján az Adatkezelő jogos érdekének szükségessége is fennáll, ezzel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az arányosság szempontrendszere.</w:t>
            </w:r>
          </w:p>
          <w:p w14:paraId="78D253B2" w14:textId="45BE0FB8" w:rsidR="009928C3" w:rsidRDefault="00A11C0C" w:rsidP="00993FB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A11C0C">
              <w:rPr>
                <w:rFonts w:ascii="Hind Regular" w:hAnsi="Hind Regular" w:cs="Hind Regular"/>
                <w:sz w:val="20"/>
                <w:szCs w:val="20"/>
              </w:rPr>
              <w:t>Jelenleg nem áll rendelkezésre olyan technika vagy megoldás,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mellyel képfelvételek készítése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nélkül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hitelt érdemlően, minden kétséget kizáróan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rekonstruálni lehetne, hogy mi történt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egy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 vagy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ka</w:t>
            </w:r>
            <w:r>
              <w:rPr>
                <w:rFonts w:ascii="Hind Regular" w:hAnsi="Hind Regular" w:cs="Hind Regular"/>
                <w:sz w:val="20"/>
                <w:szCs w:val="20"/>
              </w:rPr>
              <w:t>pcsán, így e célok elérése más - az É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rintettek információs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önrendelkezési jogát csekélyebb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mértékben korlátozó - módszerrel nem biztosítható. A va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gyonvédelem szempontjából ugyan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lehetséges lenne kizárólag riasztó rendszer használata, ez az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onban nem nyújtana segítséget 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balesetek,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jogsértések felderítésében, az elkövetők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beazonosításában. A felvételek esetleges </w:t>
            </w:r>
            <w:proofErr w:type="spellStart"/>
            <w:r w:rsidRPr="00A11C0C">
              <w:rPr>
                <w:rFonts w:ascii="Hind Regular" w:hAnsi="Hind Regular" w:cs="Hind Regular"/>
                <w:sz w:val="20"/>
                <w:szCs w:val="20"/>
              </w:rPr>
              <w:t>anonimizálása</w:t>
            </w:r>
            <w:proofErr w:type="spellEnd"/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, az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érintett személyek kimaszkolása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szintén lehetetlenné tenné az azon szereplő személyek beazonos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ítását, így az alapvető védelmi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cél nem valósulhatna meg, a felvételek bizonyos ideig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való tárolása nélkül pedig nem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szolgálhatnának az adatok cselekmé</w:t>
            </w:r>
            <w:r>
              <w:rPr>
                <w:rFonts w:ascii="Hind Regular" w:hAnsi="Hind Regular" w:cs="Hind Regular"/>
                <w:sz w:val="20"/>
                <w:szCs w:val="20"/>
              </w:rPr>
              <w:t>nyek bizonyítására, kivizsgálásra. A</w:t>
            </w:r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célok eléréséhez az Érintett személyes adatainak kezelése elengedhetetlenül szükséges mértékű, és az információs önrendelkezési jog aránytalan korlátozásával nem jár. Nincs más olyan, a magánszférára nézve kevésbé </w:t>
            </w:r>
            <w:proofErr w:type="spellStart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>intruzív</w:t>
            </w:r>
            <w:proofErr w:type="spellEnd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módszer, amely ki tudná váltani az adatkezelési tevékenységet, és ennélfogva kellően hatékony és utólag igazolható lenne.</w:t>
            </w:r>
          </w:p>
          <w:p w14:paraId="7CD28947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adatkezelés - az adattakarékosság és célhoz kötöttség elvét megvalósítva – csupán azon adatok körére vonatkozik, amelyek feltétlenül szükségesek a cél eléréséhez. Az Adatkezelő a célhoz kötöttség elvét megvalósítva csupán addig kezeli az Érintett személyes adatait, amíg arra a cél megvalósulása érdekében szükség van.</w:t>
            </w:r>
          </w:p>
          <w:p w14:paraId="33E96420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 xml:space="preserve">Az adatkezelés megfeleltethető a szükséges és arányos adatkezelés követelményének, az adatkezelés megfelel a fokozatosság elvének, a cél elérésére alkalmas eszköz. Az adatkezelés összhangban áll a célhoz kötöttség elvével, nem lépi túl az Mt. kereteit. </w:t>
            </w:r>
          </w:p>
          <w:p w14:paraId="1BB2F8DE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 személyes adatok kezelését az Adatkezelő jogszerűen - megfelelő jogalapon - és tisztességesen - az információs önrendelkezési jog/magánszféra/emberi méltóság tiszteletben tartásával - végzi.</w:t>
            </w:r>
          </w:p>
          <w:p w14:paraId="40B5ECA7" w14:textId="3C021CF0" w:rsidR="00D06E38" w:rsidRPr="00522EDD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Adatkezelő a személyes adatokat olyan módon kezeli, amely biztosítja azok megfelelő szintű biztonságát és bizalmas kezelését, többek között annak érdekében, hogy megakadályozza a személyes adatokhoz és a személyes adatok kezeléséhez használt eszközökhöz való jogosulatlan hozzáférést, illetve azok jogosulatlan felhasználását.</w:t>
            </w:r>
          </w:p>
        </w:tc>
      </w:tr>
    </w:tbl>
    <w:p w14:paraId="70E605BC" w14:textId="71E89388" w:rsidR="00E57F41" w:rsidRPr="002F0597" w:rsidRDefault="00E57F41" w:rsidP="006B521E">
      <w:pPr>
        <w:autoSpaceDE w:val="0"/>
        <w:autoSpaceDN w:val="0"/>
        <w:adjustRightInd w:val="0"/>
        <w:spacing w:before="1000"/>
        <w:rPr>
          <w:rFonts w:ascii="Hind Regular" w:hAnsi="Hind Regular" w:cs="Hind Regular"/>
          <w:sz w:val="20"/>
          <w:szCs w:val="20"/>
          <w:lang w:val="hu-HU"/>
        </w:rPr>
      </w:pPr>
    </w:p>
    <w:sectPr w:rsidR="00E57F41" w:rsidRPr="002F0597" w:rsidSect="00EA5CB4">
      <w:headerReference w:type="default" r:id="rId8"/>
      <w:footerReference w:type="first" r:id="rId9"/>
      <w:pgSz w:w="11907" w:h="16840" w:code="9"/>
      <w:pgMar w:top="993" w:right="1134" w:bottom="1134" w:left="1134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6EBA" w14:textId="77777777" w:rsidR="00E4501E" w:rsidRDefault="00E4501E" w:rsidP="00855145">
      <w:r>
        <w:separator/>
      </w:r>
    </w:p>
  </w:endnote>
  <w:endnote w:type="continuationSeparator" w:id="0">
    <w:p w14:paraId="36A3A99D" w14:textId="77777777" w:rsidR="00E4501E" w:rsidRDefault="00E4501E" w:rsidP="00855145">
      <w:r>
        <w:continuationSeparator/>
      </w:r>
    </w:p>
  </w:endnote>
  <w:endnote w:type="continuationNotice" w:id="1">
    <w:p w14:paraId="2AD962DD" w14:textId="77777777" w:rsidR="00E4501E" w:rsidRDefault="00E45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Regular">
    <w:altName w:val="Hind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 Medium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 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DB_GothicR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ind Regular" w:hAnsi="Hind Regular" w:cs="Hind Regular"/>
        <w:sz w:val="20"/>
        <w:szCs w:val="20"/>
      </w:rPr>
      <w:id w:val="174004233"/>
      <w:docPartObj>
        <w:docPartGallery w:val="Page Numbers (Bottom of Page)"/>
        <w:docPartUnique/>
      </w:docPartObj>
    </w:sdtPr>
    <w:sdtEndPr/>
    <w:sdtContent>
      <w:p w14:paraId="2A47C7B1" w14:textId="7FC9A7A7" w:rsidR="00E4501E" w:rsidRPr="00EA5CB4" w:rsidRDefault="00565B0E" w:rsidP="00EA5CB4">
        <w:pPr>
          <w:pStyle w:val="llb"/>
          <w:rPr>
            <w:rFonts w:ascii="Hind Regular" w:hAnsi="Hind Regular" w:cs="Hind Regular"/>
            <w:sz w:val="20"/>
            <w:szCs w:val="20"/>
          </w:rPr>
        </w:pPr>
        <w:sdt>
          <w:sdtPr>
            <w:rPr>
              <w:rFonts w:ascii="Hind Regular" w:hAnsi="Hind Regular" w:cs="Hind Regular"/>
              <w:i/>
              <w:sz w:val="20"/>
              <w:szCs w:val="20"/>
            </w:rPr>
            <w:id w:val="1690098220"/>
            <w:docPartObj>
              <w:docPartGallery w:val="Page Numbers (Top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tab/>
            </w:r>
          </w:sdtContent>
        </w:sdt>
        <w:sdt>
          <w:sdtPr>
            <w:rPr>
              <w:rFonts w:ascii="Hind Regular" w:hAnsi="Hind Regular" w:cs="Hind Regular"/>
              <w:sz w:val="20"/>
              <w:szCs w:val="20"/>
            </w:rPr>
            <w:id w:val="1005015344"/>
            <w:docPartObj>
              <w:docPartGallery w:val="Page Numbers (Bottom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begin"/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instrText>PAGE   \* MERGEFORMAT</w:instrTex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separate"/>
            </w:r>
            <w:r w:rsidRPr="00565B0E">
              <w:rPr>
                <w:rFonts w:ascii="Hind Regular" w:hAnsi="Hind Regular" w:cs="Hind Regular"/>
                <w:noProof/>
                <w:sz w:val="20"/>
                <w:szCs w:val="20"/>
                <w:lang w:val="hu-HU"/>
              </w:rPr>
              <w:t>1</w: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8C485" w14:textId="77777777" w:rsidR="00E4501E" w:rsidRDefault="00E4501E" w:rsidP="00855145">
      <w:r>
        <w:separator/>
      </w:r>
    </w:p>
  </w:footnote>
  <w:footnote w:type="continuationSeparator" w:id="0">
    <w:p w14:paraId="5AE99A64" w14:textId="77777777" w:rsidR="00E4501E" w:rsidRDefault="00E4501E" w:rsidP="00855145">
      <w:r>
        <w:continuationSeparator/>
      </w:r>
    </w:p>
  </w:footnote>
  <w:footnote w:type="continuationNotice" w:id="1">
    <w:p w14:paraId="56D8CB38" w14:textId="77777777" w:rsidR="00E4501E" w:rsidRDefault="00E45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96F1" w14:textId="6B56169E" w:rsidR="00E4501E" w:rsidRPr="00EA5CB4" w:rsidRDefault="00E4501E" w:rsidP="00F26931">
    <w:pPr>
      <w:pStyle w:val="lfej"/>
      <w:numPr>
        <w:ilvl w:val="0"/>
        <w:numId w:val="6"/>
      </w:numPr>
      <w:pBdr>
        <w:bottom w:val="single" w:sz="4" w:space="1" w:color="auto"/>
      </w:pBdr>
      <w:tabs>
        <w:tab w:val="clear" w:pos="4536"/>
        <w:tab w:val="clear" w:pos="9072"/>
        <w:tab w:val="left" w:pos="12049"/>
      </w:tabs>
      <w:rPr>
        <w:lang w:val="hu-HU"/>
      </w:rPr>
    </w:pPr>
    <w:r>
      <w:rPr>
        <w:rFonts w:ascii="Hind Regular" w:hAnsi="Hind Regular"/>
        <w:sz w:val="20"/>
        <w:szCs w:val="20"/>
        <w:lang w:val="hu-HU"/>
      </w:rPr>
      <w:t xml:space="preserve">Érdekmérlegelési teszt </w:t>
    </w:r>
    <w:r w:rsidR="00F26931">
      <w:rPr>
        <w:rFonts w:ascii="Hind Regular" w:hAnsi="Hind Regular"/>
        <w:sz w:val="20"/>
        <w:szCs w:val="20"/>
        <w:lang w:val="hu-HU"/>
      </w:rPr>
      <w:t>a</w:t>
    </w:r>
    <w:r w:rsidR="00F26931" w:rsidRPr="00F26931">
      <w:rPr>
        <w:rFonts w:ascii="Hind Regular" w:hAnsi="Hind Regular"/>
        <w:sz w:val="20"/>
        <w:szCs w:val="20"/>
        <w:lang w:val="hu-HU"/>
      </w:rPr>
      <w:t xml:space="preserve"> </w:t>
    </w:r>
    <w:r w:rsidR="002A4C9C">
      <w:rPr>
        <w:rFonts w:ascii="Hind Regular" w:hAnsi="Hind Regular"/>
        <w:sz w:val="20"/>
        <w:szCs w:val="20"/>
        <w:lang w:val="hu-HU"/>
      </w:rPr>
      <w:t xml:space="preserve">felhasználó adatainak munkaviszony megszűnését </w:t>
    </w:r>
    <w:r w:rsidR="00F26931" w:rsidRPr="00F26931">
      <w:rPr>
        <w:rFonts w:ascii="Hind Regular" w:hAnsi="Hind Regular"/>
        <w:sz w:val="20"/>
        <w:szCs w:val="20"/>
        <w:lang w:val="hu-HU"/>
      </w:rPr>
      <w:t>adatainak kezelése tárgyában</w:t>
    </w:r>
    <w:r w:rsidR="00F26931">
      <w:rPr>
        <w:rFonts w:ascii="Hind Regular" w:hAnsi="Hind Regular"/>
        <w:sz w:val="20"/>
        <w:szCs w:val="20"/>
        <w:lang w:val="hu-HU"/>
      </w:rPr>
      <w:t xml:space="preserve"> </w:t>
    </w:r>
    <w:r>
      <w:rPr>
        <w:rFonts w:ascii="Hind Regular" w:hAnsi="Hind Regular"/>
        <w:sz w:val="20"/>
        <w:szCs w:val="20"/>
        <w:lang w:val="hu-HU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83.15pt;height:143.35pt" o:bullet="t">
        <v:imagedata r:id="rId1" o:title="BISZ-arrow-left-gray"/>
      </v:shape>
    </w:pict>
  </w:numPicBullet>
  <w:numPicBullet w:numPicBulletId="1">
    <w:pict>
      <v:shape id="_x0000_i1109" type="#_x0000_t75" style="width:82.45pt;height:143.35pt" o:bullet="t">
        <v:imagedata r:id="rId2" o:title="BISZ-arrow-right-gray"/>
      </v:shape>
    </w:pict>
  </w:numPicBullet>
  <w:abstractNum w:abstractNumId="0" w15:restartNumberingAfterBreak="0">
    <w:nsid w:val="0237283B"/>
    <w:multiLevelType w:val="hybridMultilevel"/>
    <w:tmpl w:val="CDB2CAFA"/>
    <w:lvl w:ilvl="0" w:tplc="C48CB87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9A5110"/>
    <w:multiLevelType w:val="hybridMultilevel"/>
    <w:tmpl w:val="DBFE486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C63"/>
    <w:multiLevelType w:val="multilevel"/>
    <w:tmpl w:val="AC28E978"/>
    <w:lvl w:ilvl="0">
      <w:start w:val="1"/>
      <w:numFmt w:val="decimal"/>
      <w:pStyle w:val="Cm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cm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DF0BB2"/>
    <w:multiLevelType w:val="hybridMultilevel"/>
    <w:tmpl w:val="DA546E26"/>
    <w:lvl w:ilvl="0" w:tplc="3C9489F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06708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C528522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2FF"/>
    <w:multiLevelType w:val="hybridMultilevel"/>
    <w:tmpl w:val="D34EEB38"/>
    <w:lvl w:ilvl="0" w:tplc="DCDC6422"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4C88"/>
    <w:multiLevelType w:val="hybridMultilevel"/>
    <w:tmpl w:val="042EA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BF8"/>
    <w:multiLevelType w:val="hybridMultilevel"/>
    <w:tmpl w:val="675232C6"/>
    <w:lvl w:ilvl="0" w:tplc="5F407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0209"/>
    <w:multiLevelType w:val="hybridMultilevel"/>
    <w:tmpl w:val="BAEA28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416EB"/>
    <w:multiLevelType w:val="hybridMultilevel"/>
    <w:tmpl w:val="3198F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B76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4A77A4F"/>
    <w:multiLevelType w:val="hybridMultilevel"/>
    <w:tmpl w:val="FF388AAA"/>
    <w:lvl w:ilvl="0" w:tplc="E3DAC5A6">
      <w:start w:val="10"/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E42AC"/>
    <w:multiLevelType w:val="hybridMultilevel"/>
    <w:tmpl w:val="E90C1C8E"/>
    <w:lvl w:ilvl="0" w:tplc="FE84B492">
      <w:start w:val="1"/>
      <w:numFmt w:val="bullet"/>
      <w:pStyle w:val="Listaszerbekezds1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9"/>
    <w:rsid w:val="000025EB"/>
    <w:rsid w:val="0000367D"/>
    <w:rsid w:val="00014482"/>
    <w:rsid w:val="00020145"/>
    <w:rsid w:val="00031022"/>
    <w:rsid w:val="00031D6A"/>
    <w:rsid w:val="0004292E"/>
    <w:rsid w:val="00043877"/>
    <w:rsid w:val="0004398D"/>
    <w:rsid w:val="00045424"/>
    <w:rsid w:val="0006357A"/>
    <w:rsid w:val="00067A81"/>
    <w:rsid w:val="00086C31"/>
    <w:rsid w:val="000A2B1B"/>
    <w:rsid w:val="000A44BC"/>
    <w:rsid w:val="000B11DE"/>
    <w:rsid w:val="000B2958"/>
    <w:rsid w:val="000C735B"/>
    <w:rsid w:val="000D2286"/>
    <w:rsid w:val="000D61CB"/>
    <w:rsid w:val="000E504E"/>
    <w:rsid w:val="000F0D86"/>
    <w:rsid w:val="000F2635"/>
    <w:rsid w:val="000F284F"/>
    <w:rsid w:val="001065D4"/>
    <w:rsid w:val="0011007F"/>
    <w:rsid w:val="00127127"/>
    <w:rsid w:val="00135947"/>
    <w:rsid w:val="00143DC3"/>
    <w:rsid w:val="00147256"/>
    <w:rsid w:val="001476E5"/>
    <w:rsid w:val="00147E3D"/>
    <w:rsid w:val="001564FA"/>
    <w:rsid w:val="00157E1B"/>
    <w:rsid w:val="00164251"/>
    <w:rsid w:val="00164BDA"/>
    <w:rsid w:val="00166925"/>
    <w:rsid w:val="0017712E"/>
    <w:rsid w:val="0018670A"/>
    <w:rsid w:val="00186FF8"/>
    <w:rsid w:val="001972A9"/>
    <w:rsid w:val="001A016C"/>
    <w:rsid w:val="001A6A9C"/>
    <w:rsid w:val="001B1258"/>
    <w:rsid w:val="001B1C82"/>
    <w:rsid w:val="001B2BF0"/>
    <w:rsid w:val="001B3630"/>
    <w:rsid w:val="001C782E"/>
    <w:rsid w:val="001E3B3E"/>
    <w:rsid w:val="001F12FE"/>
    <w:rsid w:val="001F76F9"/>
    <w:rsid w:val="001F7A06"/>
    <w:rsid w:val="0021314C"/>
    <w:rsid w:val="00231DA8"/>
    <w:rsid w:val="0024314D"/>
    <w:rsid w:val="00261470"/>
    <w:rsid w:val="00262626"/>
    <w:rsid w:val="00277D5A"/>
    <w:rsid w:val="00294192"/>
    <w:rsid w:val="002A4C9C"/>
    <w:rsid w:val="002B1B00"/>
    <w:rsid w:val="002B21CD"/>
    <w:rsid w:val="002B2F98"/>
    <w:rsid w:val="002B42D2"/>
    <w:rsid w:val="002D2B3B"/>
    <w:rsid w:val="002E1309"/>
    <w:rsid w:val="002E1AE1"/>
    <w:rsid w:val="002F0597"/>
    <w:rsid w:val="002F072B"/>
    <w:rsid w:val="002F1B0D"/>
    <w:rsid w:val="00313A8E"/>
    <w:rsid w:val="00323B4A"/>
    <w:rsid w:val="0032539A"/>
    <w:rsid w:val="00340256"/>
    <w:rsid w:val="00344EC7"/>
    <w:rsid w:val="00353262"/>
    <w:rsid w:val="0036240F"/>
    <w:rsid w:val="0036453F"/>
    <w:rsid w:val="003721F2"/>
    <w:rsid w:val="00385034"/>
    <w:rsid w:val="003942AC"/>
    <w:rsid w:val="00394E29"/>
    <w:rsid w:val="003C321A"/>
    <w:rsid w:val="003C68F0"/>
    <w:rsid w:val="003C6D0A"/>
    <w:rsid w:val="003D63C4"/>
    <w:rsid w:val="003D7618"/>
    <w:rsid w:val="003E12C3"/>
    <w:rsid w:val="003E5341"/>
    <w:rsid w:val="003F122B"/>
    <w:rsid w:val="003F2409"/>
    <w:rsid w:val="003F5BD5"/>
    <w:rsid w:val="00407B53"/>
    <w:rsid w:val="00413712"/>
    <w:rsid w:val="00451ADF"/>
    <w:rsid w:val="00454713"/>
    <w:rsid w:val="0046231F"/>
    <w:rsid w:val="00467238"/>
    <w:rsid w:val="00477B56"/>
    <w:rsid w:val="00477EFE"/>
    <w:rsid w:val="004A3A2B"/>
    <w:rsid w:val="004A6F91"/>
    <w:rsid w:val="004A74D9"/>
    <w:rsid w:val="004B21A9"/>
    <w:rsid w:val="004B70B0"/>
    <w:rsid w:val="004C1F31"/>
    <w:rsid w:val="004C26E5"/>
    <w:rsid w:val="004C4959"/>
    <w:rsid w:val="004D0194"/>
    <w:rsid w:val="004D3448"/>
    <w:rsid w:val="004D4DB0"/>
    <w:rsid w:val="004D5167"/>
    <w:rsid w:val="004E0F27"/>
    <w:rsid w:val="004F4062"/>
    <w:rsid w:val="00510429"/>
    <w:rsid w:val="00512989"/>
    <w:rsid w:val="00522EDD"/>
    <w:rsid w:val="00524927"/>
    <w:rsid w:val="00527B54"/>
    <w:rsid w:val="00531418"/>
    <w:rsid w:val="005343F1"/>
    <w:rsid w:val="00537FEF"/>
    <w:rsid w:val="005424FC"/>
    <w:rsid w:val="00547FE4"/>
    <w:rsid w:val="0055490B"/>
    <w:rsid w:val="00557190"/>
    <w:rsid w:val="00565B0E"/>
    <w:rsid w:val="00574141"/>
    <w:rsid w:val="00574DCC"/>
    <w:rsid w:val="005773E3"/>
    <w:rsid w:val="0058244A"/>
    <w:rsid w:val="00585143"/>
    <w:rsid w:val="005851A7"/>
    <w:rsid w:val="00591DD1"/>
    <w:rsid w:val="00593CD3"/>
    <w:rsid w:val="005A2A87"/>
    <w:rsid w:val="005C6FA0"/>
    <w:rsid w:val="005D12F3"/>
    <w:rsid w:val="005D66DF"/>
    <w:rsid w:val="005F4544"/>
    <w:rsid w:val="006033BD"/>
    <w:rsid w:val="00616447"/>
    <w:rsid w:val="00623BE9"/>
    <w:rsid w:val="00647771"/>
    <w:rsid w:val="0066080B"/>
    <w:rsid w:val="006700C4"/>
    <w:rsid w:val="00677778"/>
    <w:rsid w:val="00680C6E"/>
    <w:rsid w:val="0068174D"/>
    <w:rsid w:val="00690086"/>
    <w:rsid w:val="00695111"/>
    <w:rsid w:val="00696DDC"/>
    <w:rsid w:val="006A2089"/>
    <w:rsid w:val="006B13EA"/>
    <w:rsid w:val="006B521E"/>
    <w:rsid w:val="006B6D6A"/>
    <w:rsid w:val="006D4A32"/>
    <w:rsid w:val="006E4114"/>
    <w:rsid w:val="006E47E4"/>
    <w:rsid w:val="006F1074"/>
    <w:rsid w:val="006F15DF"/>
    <w:rsid w:val="006F20D2"/>
    <w:rsid w:val="006F4386"/>
    <w:rsid w:val="00701FD5"/>
    <w:rsid w:val="0070785A"/>
    <w:rsid w:val="00716B58"/>
    <w:rsid w:val="007316BB"/>
    <w:rsid w:val="00754C5B"/>
    <w:rsid w:val="00763FBE"/>
    <w:rsid w:val="00766087"/>
    <w:rsid w:val="00770ADD"/>
    <w:rsid w:val="00783558"/>
    <w:rsid w:val="007960C8"/>
    <w:rsid w:val="007967F8"/>
    <w:rsid w:val="007A54D3"/>
    <w:rsid w:val="007A7F55"/>
    <w:rsid w:val="007B1992"/>
    <w:rsid w:val="007B520B"/>
    <w:rsid w:val="007B7E0E"/>
    <w:rsid w:val="007C1DFD"/>
    <w:rsid w:val="007C439C"/>
    <w:rsid w:val="007D7BF8"/>
    <w:rsid w:val="007E0BC4"/>
    <w:rsid w:val="007E4A85"/>
    <w:rsid w:val="007E5D55"/>
    <w:rsid w:val="00806BD5"/>
    <w:rsid w:val="008105A6"/>
    <w:rsid w:val="00844A20"/>
    <w:rsid w:val="00847D30"/>
    <w:rsid w:val="008504CA"/>
    <w:rsid w:val="00855145"/>
    <w:rsid w:val="00857ABE"/>
    <w:rsid w:val="0086723B"/>
    <w:rsid w:val="00871803"/>
    <w:rsid w:val="00877CDE"/>
    <w:rsid w:val="008A068E"/>
    <w:rsid w:val="008C028F"/>
    <w:rsid w:val="008E6F09"/>
    <w:rsid w:val="00900E09"/>
    <w:rsid w:val="00907784"/>
    <w:rsid w:val="00910235"/>
    <w:rsid w:val="00913773"/>
    <w:rsid w:val="0092415C"/>
    <w:rsid w:val="009351DB"/>
    <w:rsid w:val="00935327"/>
    <w:rsid w:val="00942E01"/>
    <w:rsid w:val="009432B5"/>
    <w:rsid w:val="00950677"/>
    <w:rsid w:val="00957166"/>
    <w:rsid w:val="0096686E"/>
    <w:rsid w:val="009706AD"/>
    <w:rsid w:val="00982C74"/>
    <w:rsid w:val="009928C3"/>
    <w:rsid w:val="00993FB5"/>
    <w:rsid w:val="009A1BEF"/>
    <w:rsid w:val="009B2C98"/>
    <w:rsid w:val="009B6EDE"/>
    <w:rsid w:val="009C3AA2"/>
    <w:rsid w:val="009D332A"/>
    <w:rsid w:val="009D605D"/>
    <w:rsid w:val="009D7CFA"/>
    <w:rsid w:val="009E5AA4"/>
    <w:rsid w:val="00A074A6"/>
    <w:rsid w:val="00A119B1"/>
    <w:rsid w:val="00A11C0C"/>
    <w:rsid w:val="00A13963"/>
    <w:rsid w:val="00A162BB"/>
    <w:rsid w:val="00A24335"/>
    <w:rsid w:val="00A34F82"/>
    <w:rsid w:val="00A54566"/>
    <w:rsid w:val="00A72986"/>
    <w:rsid w:val="00A91685"/>
    <w:rsid w:val="00A95081"/>
    <w:rsid w:val="00AC06AC"/>
    <w:rsid w:val="00AC4C46"/>
    <w:rsid w:val="00AD2AB0"/>
    <w:rsid w:val="00AD7AD4"/>
    <w:rsid w:val="00AE17B1"/>
    <w:rsid w:val="00AF06C5"/>
    <w:rsid w:val="00AF357D"/>
    <w:rsid w:val="00B05C66"/>
    <w:rsid w:val="00B17088"/>
    <w:rsid w:val="00B234FC"/>
    <w:rsid w:val="00B30402"/>
    <w:rsid w:val="00B37727"/>
    <w:rsid w:val="00B4503B"/>
    <w:rsid w:val="00B53C09"/>
    <w:rsid w:val="00B64591"/>
    <w:rsid w:val="00B71956"/>
    <w:rsid w:val="00B7486D"/>
    <w:rsid w:val="00B805C8"/>
    <w:rsid w:val="00B91DD6"/>
    <w:rsid w:val="00BA110C"/>
    <w:rsid w:val="00BA721C"/>
    <w:rsid w:val="00BC3FE2"/>
    <w:rsid w:val="00BD73CE"/>
    <w:rsid w:val="00BF4EFA"/>
    <w:rsid w:val="00C051D3"/>
    <w:rsid w:val="00C05D6C"/>
    <w:rsid w:val="00C15E7F"/>
    <w:rsid w:val="00C20E34"/>
    <w:rsid w:val="00C21977"/>
    <w:rsid w:val="00C23EBF"/>
    <w:rsid w:val="00C257C4"/>
    <w:rsid w:val="00C33776"/>
    <w:rsid w:val="00C42221"/>
    <w:rsid w:val="00C56731"/>
    <w:rsid w:val="00C63D17"/>
    <w:rsid w:val="00C66DCD"/>
    <w:rsid w:val="00C76AE8"/>
    <w:rsid w:val="00C779F2"/>
    <w:rsid w:val="00C844B7"/>
    <w:rsid w:val="00C85BE0"/>
    <w:rsid w:val="00C94FEE"/>
    <w:rsid w:val="00CA25AD"/>
    <w:rsid w:val="00CA30E2"/>
    <w:rsid w:val="00CA323F"/>
    <w:rsid w:val="00CA7ACF"/>
    <w:rsid w:val="00CB297B"/>
    <w:rsid w:val="00CB5F74"/>
    <w:rsid w:val="00CC0E9A"/>
    <w:rsid w:val="00CD284B"/>
    <w:rsid w:val="00CD35ED"/>
    <w:rsid w:val="00CD407F"/>
    <w:rsid w:val="00CD445A"/>
    <w:rsid w:val="00CE1387"/>
    <w:rsid w:val="00CE2AE7"/>
    <w:rsid w:val="00CF73CE"/>
    <w:rsid w:val="00D02C80"/>
    <w:rsid w:val="00D05C50"/>
    <w:rsid w:val="00D06E38"/>
    <w:rsid w:val="00D10FE8"/>
    <w:rsid w:val="00D1329D"/>
    <w:rsid w:val="00D2545C"/>
    <w:rsid w:val="00D256B5"/>
    <w:rsid w:val="00D365F3"/>
    <w:rsid w:val="00D55F06"/>
    <w:rsid w:val="00D5783F"/>
    <w:rsid w:val="00D61524"/>
    <w:rsid w:val="00D747FC"/>
    <w:rsid w:val="00D81379"/>
    <w:rsid w:val="00D84CB2"/>
    <w:rsid w:val="00D960FF"/>
    <w:rsid w:val="00DB6A89"/>
    <w:rsid w:val="00DC05F5"/>
    <w:rsid w:val="00DC1734"/>
    <w:rsid w:val="00DC360C"/>
    <w:rsid w:val="00DC77E8"/>
    <w:rsid w:val="00DD03A8"/>
    <w:rsid w:val="00DE0C29"/>
    <w:rsid w:val="00DE2A1B"/>
    <w:rsid w:val="00DE409F"/>
    <w:rsid w:val="00DE62A8"/>
    <w:rsid w:val="00DF0E8C"/>
    <w:rsid w:val="00DF256E"/>
    <w:rsid w:val="00DF61B4"/>
    <w:rsid w:val="00E01480"/>
    <w:rsid w:val="00E03917"/>
    <w:rsid w:val="00E063D0"/>
    <w:rsid w:val="00E1769E"/>
    <w:rsid w:val="00E4501E"/>
    <w:rsid w:val="00E5636E"/>
    <w:rsid w:val="00E57949"/>
    <w:rsid w:val="00E57F41"/>
    <w:rsid w:val="00E6055B"/>
    <w:rsid w:val="00E738ED"/>
    <w:rsid w:val="00E739BE"/>
    <w:rsid w:val="00E7681B"/>
    <w:rsid w:val="00E84EA4"/>
    <w:rsid w:val="00EA5CB4"/>
    <w:rsid w:val="00EC2048"/>
    <w:rsid w:val="00EC5FEF"/>
    <w:rsid w:val="00ED1A3B"/>
    <w:rsid w:val="00EE1964"/>
    <w:rsid w:val="00EE4DFC"/>
    <w:rsid w:val="00EE4EF5"/>
    <w:rsid w:val="00EF5AC7"/>
    <w:rsid w:val="00F0086A"/>
    <w:rsid w:val="00F26931"/>
    <w:rsid w:val="00F305CD"/>
    <w:rsid w:val="00F41D1B"/>
    <w:rsid w:val="00F42644"/>
    <w:rsid w:val="00F926F6"/>
    <w:rsid w:val="00FA393D"/>
    <w:rsid w:val="00FA6146"/>
    <w:rsid w:val="00FD69C6"/>
    <w:rsid w:val="00FE08A3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78BD7"/>
  <w15:docId w15:val="{FB5FADCF-0C11-4C71-AE11-C2EF6ED7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39C"/>
    <w:pPr>
      <w:spacing w:after="0" w:line="240" w:lineRule="auto"/>
    </w:pPr>
  </w:style>
  <w:style w:type="paragraph" w:styleId="Cmsor1">
    <w:name w:val="heading 1"/>
    <w:aliases w:val="1. számozott szint"/>
    <w:basedOn w:val="Norml"/>
    <w:next w:val="Norml"/>
    <w:link w:val="Cmsor1Char"/>
    <w:uiPriority w:val="9"/>
    <w:qFormat/>
    <w:rsid w:val="0066080B"/>
    <w:pPr>
      <w:widowControl/>
      <w:numPr>
        <w:numId w:val="3"/>
      </w:numPr>
      <w:spacing w:before="480"/>
      <w:outlineLvl w:val="0"/>
    </w:pPr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080B"/>
    <w:pPr>
      <w:widowControl/>
      <w:numPr>
        <w:ilvl w:val="1"/>
        <w:numId w:val="3"/>
      </w:numPr>
      <w:spacing w:before="480"/>
      <w:outlineLvl w:val="1"/>
    </w:pPr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66080B"/>
    <w:pPr>
      <w:widowControl/>
      <w:numPr>
        <w:ilvl w:val="2"/>
        <w:numId w:val="3"/>
      </w:numPr>
      <w:spacing w:before="480"/>
      <w:outlineLvl w:val="2"/>
    </w:pPr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66080B"/>
    <w:pPr>
      <w:widowControl/>
      <w:numPr>
        <w:ilvl w:val="3"/>
        <w:numId w:val="3"/>
      </w:numPr>
      <w:spacing w:before="480"/>
      <w:outlineLvl w:val="3"/>
    </w:pPr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9B6ED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9B6ED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B6ED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9B6ED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9B6ED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. számozott szint Char"/>
    <w:basedOn w:val="Bekezdsalapbettpusa"/>
    <w:link w:val="Cmsor1"/>
    <w:uiPriority w:val="9"/>
    <w:rsid w:val="0066080B"/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6080B"/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66080B"/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66080B"/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9B6ED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rsid w:val="009B6E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B6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rsid w:val="009B6E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B6E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6A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AE8"/>
    <w:rPr>
      <w:rFonts w:ascii="Tahoma" w:hAnsi="Tahoma" w:cs="Tahoma"/>
      <w:sz w:val="16"/>
      <w:szCs w:val="16"/>
    </w:rPr>
  </w:style>
  <w:style w:type="paragraph" w:styleId="lfej">
    <w:name w:val="header"/>
    <w:aliases w:val="Fejléc"/>
    <w:basedOn w:val="Norml"/>
    <w:link w:val="lfejChar"/>
    <w:unhideWhenUsed/>
    <w:rsid w:val="0085514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Fejléc Char"/>
    <w:basedOn w:val="Bekezdsalapbettpusa"/>
    <w:link w:val="lfej"/>
    <w:uiPriority w:val="99"/>
    <w:rsid w:val="00855145"/>
  </w:style>
  <w:style w:type="paragraph" w:styleId="llb">
    <w:name w:val="footer"/>
    <w:basedOn w:val="Norml"/>
    <w:link w:val="llbChar"/>
    <w:uiPriority w:val="99"/>
    <w:unhideWhenUsed/>
    <w:rsid w:val="008551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145"/>
  </w:style>
  <w:style w:type="paragraph" w:styleId="TJ1">
    <w:name w:val="toc 1"/>
    <w:basedOn w:val="Norml"/>
    <w:next w:val="Norml"/>
    <w:autoRedefine/>
    <w:uiPriority w:val="39"/>
    <w:qFormat/>
    <w:rsid w:val="00164BDA"/>
    <w:pPr>
      <w:widowControl/>
      <w:tabs>
        <w:tab w:val="right" w:leader="dot" w:pos="9639"/>
      </w:tabs>
    </w:pPr>
    <w:rPr>
      <w:rFonts w:ascii="Hind Regular" w:eastAsia="Times New Roman" w:hAnsi="Hind Regular" w:cs="Times New Roman"/>
      <w:b/>
      <w:noProof/>
      <w:sz w:val="20"/>
      <w:szCs w:val="24"/>
      <w:lang w:val="hu-HU" w:eastAsia="hu-HU"/>
    </w:rPr>
  </w:style>
  <w:style w:type="paragraph" w:styleId="TJ2">
    <w:name w:val="toc 2"/>
    <w:basedOn w:val="TJ1"/>
    <w:next w:val="Norml"/>
    <w:autoRedefine/>
    <w:uiPriority w:val="39"/>
    <w:qFormat/>
    <w:rsid w:val="00164BDA"/>
    <w:pPr>
      <w:tabs>
        <w:tab w:val="left" w:pos="851"/>
      </w:tabs>
      <w:ind w:left="284"/>
    </w:pPr>
    <w:rPr>
      <w:lang w:eastAsia="en-US"/>
    </w:rPr>
  </w:style>
  <w:style w:type="paragraph" w:styleId="TJ3">
    <w:name w:val="toc 3"/>
    <w:basedOn w:val="TJ2"/>
    <w:next w:val="Norml"/>
    <w:autoRedefine/>
    <w:uiPriority w:val="39"/>
    <w:qFormat/>
    <w:rsid w:val="00844A20"/>
    <w:pPr>
      <w:tabs>
        <w:tab w:val="left" w:pos="1320"/>
      </w:tabs>
      <w:ind w:left="567"/>
    </w:pPr>
    <w:rPr>
      <w:b w:val="0"/>
    </w:rPr>
  </w:style>
  <w:style w:type="character" w:styleId="Hiperhivatkozs">
    <w:name w:val="Hyperlink"/>
    <w:uiPriority w:val="99"/>
    <w:rsid w:val="00E57F41"/>
    <w:rPr>
      <w:color w:val="000080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7F41"/>
    <w:pPr>
      <w:contextualSpacing/>
      <w:outlineLvl w:val="9"/>
    </w:pPr>
    <w:rPr>
      <w:rFonts w:ascii="Hind Bold" w:hAnsi="Hind Bold" w:cs="Hind Bold"/>
      <w:b/>
      <w:bCs w:val="0"/>
      <w:color w:val="auto"/>
    </w:rPr>
  </w:style>
  <w:style w:type="paragraph" w:styleId="Listaszerbekezds">
    <w:name w:val="List Paragraph"/>
    <w:aliases w:val="Lista1"/>
    <w:basedOn w:val="Norml"/>
    <w:link w:val="ListaszerbekezdsChar"/>
    <w:uiPriority w:val="34"/>
    <w:qFormat/>
    <w:rsid w:val="0032539A"/>
    <w:pPr>
      <w:widowControl/>
      <w:spacing w:after="120"/>
      <w:contextualSpacing/>
    </w:pPr>
    <w:rPr>
      <w:rFonts w:eastAsiaTheme="minorEastAsia" w:cs="Hind Regular"/>
      <w:color w:val="000000" w:themeColor="text1"/>
      <w:lang w:val="hu-HU" w:eastAsia="hu-HU"/>
    </w:rPr>
  </w:style>
  <w:style w:type="character" w:customStyle="1" w:styleId="ListaszerbekezdsChar">
    <w:name w:val="Listaszerű bekezdés Char"/>
    <w:aliases w:val="Lista1 Char"/>
    <w:basedOn w:val="Bekezdsalapbettpusa"/>
    <w:link w:val="Listaszerbekezds"/>
    <w:uiPriority w:val="34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57F41"/>
    <w:pPr>
      <w:widowControl/>
      <w:spacing w:after="120"/>
      <w:contextualSpacing/>
    </w:pPr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character" w:customStyle="1" w:styleId="CmChar">
    <w:name w:val="Cím Char"/>
    <w:basedOn w:val="Bekezdsalapbettpusa"/>
    <w:link w:val="Cm"/>
    <w:uiPriority w:val="10"/>
    <w:rsid w:val="00E57F41"/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E57F41"/>
    <w:pPr>
      <w:widowControl/>
      <w:spacing w:after="600"/>
    </w:pPr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customStyle="1" w:styleId="AlcmChar">
    <w:name w:val="Alcím Char"/>
    <w:basedOn w:val="Bekezdsalapbettpusa"/>
    <w:link w:val="Alcm"/>
    <w:uiPriority w:val="11"/>
    <w:rsid w:val="00E57F41"/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styleId="Kiemels">
    <w:name w:val="Emphasis"/>
    <w:uiPriority w:val="20"/>
    <w:qFormat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eastAsia="hu-HU"/>
    </w:rPr>
  </w:style>
  <w:style w:type="character" w:styleId="Kiemels2">
    <w:name w:val="Strong"/>
    <w:basedOn w:val="Erskiemels"/>
    <w:uiPriority w:val="22"/>
    <w:qFormat/>
    <w:rsid w:val="00E57F41"/>
    <w:rPr>
      <w:rFonts w:ascii="Hind Semibold" w:eastAsiaTheme="minorEastAsia" w:hAnsi="Hind Semibold" w:cs="Hind Semibold"/>
      <w:b w:val="0"/>
      <w:bCs/>
      <w:i w:val="0"/>
      <w:iCs w:val="0"/>
      <w:color w:val="000000" w:themeColor="text1"/>
      <w:sz w:val="20"/>
      <w:lang w:eastAsia="hu-HU"/>
    </w:rPr>
  </w:style>
  <w:style w:type="character" w:styleId="Erskiemels">
    <w:name w:val="Intense Emphasis"/>
    <w:basedOn w:val="Bekezdsalapbettpusa"/>
    <w:uiPriority w:val="21"/>
    <w:qFormat/>
    <w:rsid w:val="00E57F41"/>
    <w:rPr>
      <w:b/>
      <w:bCs/>
      <w:i/>
      <w:iCs/>
      <w:color w:val="4F81BD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E57F41"/>
    <w:pPr>
      <w:widowControl/>
      <w:spacing w:before="200"/>
      <w:ind w:left="284" w:right="360"/>
    </w:pPr>
    <w:rPr>
      <w:rFonts w:eastAsiaTheme="minorEastAsia" w:cs="Hind Regular"/>
      <w:i/>
      <w:iCs/>
      <w:color w:val="000000" w:themeColor="text1"/>
      <w:lang w:val="hu-HU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val="hu-HU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39A"/>
    <w:pPr>
      <w:widowControl/>
      <w:spacing w:before="200" w:after="280"/>
      <w:ind w:left="284" w:right="1152"/>
    </w:pPr>
    <w:rPr>
      <w:rFonts w:ascii="Hind Semibold" w:eastAsiaTheme="minorEastAsia" w:hAnsi="Hind Semibold" w:cs="Hind Semibold"/>
      <w:bCs/>
      <w:i/>
      <w:iCs/>
      <w:color w:val="000000" w:themeColor="text1"/>
      <w:lang w:val="hu-HU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39A"/>
    <w:rPr>
      <w:rFonts w:ascii="Hind Semibold" w:eastAsiaTheme="minorEastAsia" w:hAnsi="Hind Semibold" w:cs="Hind Semibold"/>
      <w:bCs/>
      <w:i/>
      <w:iCs/>
      <w:color w:val="000000" w:themeColor="text1"/>
      <w:sz w:val="20"/>
      <w:lang w:val="hu-HU" w:eastAsia="hu-HU"/>
    </w:rPr>
  </w:style>
  <w:style w:type="character" w:styleId="Ershivatkozs">
    <w:name w:val="Intense Reference"/>
    <w:uiPriority w:val="32"/>
    <w:qFormat/>
    <w:rsid w:val="00E57F41"/>
    <w:rPr>
      <w:rFonts w:ascii="Hind Semibold" w:eastAsiaTheme="minorEastAsia" w:hAnsi="Hind Semibold" w:cs="Hind Semibold"/>
      <w:color w:val="000000" w:themeColor="text1"/>
      <w:spacing w:val="5"/>
      <w:sz w:val="20"/>
      <w:u w:val="single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9B6EDE"/>
    <w:pPr>
      <w:spacing w:after="100"/>
      <w:ind w:left="660"/>
    </w:pPr>
  </w:style>
  <w:style w:type="character" w:styleId="Helyrzszveg">
    <w:name w:val="Placeholder Text"/>
    <w:basedOn w:val="Bekezdsalapbettpusa"/>
    <w:uiPriority w:val="99"/>
    <w:semiHidden/>
    <w:rsid w:val="00340256"/>
    <w:rPr>
      <w:color w:val="808080"/>
    </w:rPr>
  </w:style>
  <w:style w:type="paragraph" w:customStyle="1" w:styleId="Listaszerbekezds1">
    <w:name w:val="Listaszerű bekezdés 1"/>
    <w:basedOn w:val="Listaszerbekezds"/>
    <w:link w:val="Listaszerbekezds1Char"/>
    <w:qFormat/>
    <w:rsid w:val="0032539A"/>
    <w:pPr>
      <w:numPr>
        <w:numId w:val="1"/>
      </w:numPr>
    </w:pPr>
  </w:style>
  <w:style w:type="character" w:customStyle="1" w:styleId="Listaszerbekezds1Char">
    <w:name w:val="Listaszerű bekezdés 1 Char"/>
    <w:basedOn w:val="ListaszerbekezdsChar"/>
    <w:link w:val="Listaszerbekezds1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Lbjegyzetszveg">
    <w:name w:val="footnote text"/>
    <w:basedOn w:val="Norml"/>
    <w:link w:val="LbjegyzetszvegChar"/>
    <w:rsid w:val="005D12F3"/>
    <w:pPr>
      <w:widowControl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5D12F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5D12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844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439C"/>
    <w:rPr>
      <w:rFonts w:ascii="Hind Regular" w:hAnsi="Hind Regular"/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439C"/>
    <w:rPr>
      <w:rFonts w:ascii="Hind Regular" w:hAnsi="Hind Regular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44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44B7"/>
    <w:rPr>
      <w:rFonts w:ascii="Hind Regular" w:hAnsi="Hind Regular"/>
      <w:b/>
      <w:bCs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20E34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147256"/>
    <w:pPr>
      <w:spacing w:before="64"/>
      <w:ind w:left="846" w:hanging="708"/>
    </w:pPr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147256"/>
    <w:rPr>
      <w:rFonts w:ascii="Arial" w:eastAsia="Arial" w:hAnsi="Arial"/>
      <w:sz w:val="19"/>
      <w:szCs w:val="19"/>
    </w:rPr>
  </w:style>
  <w:style w:type="paragraph" w:styleId="Vltozat">
    <w:name w:val="Revision"/>
    <w:hidden/>
    <w:uiPriority w:val="99"/>
    <w:semiHidden/>
    <w:rsid w:val="00CA25AD"/>
    <w:pPr>
      <w:widowControl/>
      <w:spacing w:after="0" w:line="240" w:lineRule="auto"/>
    </w:pPr>
    <w:rPr>
      <w:rFonts w:ascii="Hind Regular" w:hAnsi="Hind Regular"/>
      <w:sz w:val="20"/>
    </w:rPr>
  </w:style>
  <w:style w:type="character" w:styleId="Oldalszm">
    <w:name w:val="page number"/>
    <w:basedOn w:val="Bekezdsalapbettpusa"/>
    <w:rsid w:val="003C321A"/>
  </w:style>
  <w:style w:type="paragraph" w:customStyle="1" w:styleId="Text">
    <w:name w:val="Text"/>
    <w:basedOn w:val="Norml"/>
    <w:rsid w:val="003C321A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onfig">
    <w:name w:val="Config"/>
    <w:basedOn w:val="Norml"/>
    <w:rsid w:val="003C321A"/>
    <w:pPr>
      <w:widowControl/>
      <w:tabs>
        <w:tab w:val="left" w:pos="357"/>
        <w:tab w:val="left" w:pos="1701"/>
        <w:tab w:val="left" w:pos="3402"/>
      </w:tabs>
      <w:ind w:firstLine="357"/>
      <w:jc w:val="both"/>
    </w:pPr>
    <w:rPr>
      <w:rFonts w:ascii="Times New Roman" w:eastAsia="Times New Roman" w:hAnsi="Times New Roman" w:cs="Times New Roman"/>
      <w:sz w:val="24"/>
      <w:szCs w:val="20"/>
      <w:lang w:val="da-DK" w:eastAsia="hu-HU"/>
    </w:rPr>
  </w:style>
  <w:style w:type="paragraph" w:customStyle="1" w:styleId="cm3">
    <w:name w:val="cím_3"/>
    <w:basedOn w:val="Norml"/>
    <w:next w:val="Norml"/>
    <w:rsid w:val="00CF73CE"/>
    <w:pPr>
      <w:widowControl/>
      <w:numPr>
        <w:ilvl w:val="2"/>
        <w:numId w:val="2"/>
      </w:numPr>
      <w:spacing w:before="240"/>
      <w:jc w:val="both"/>
    </w:pPr>
    <w:rPr>
      <w:rFonts w:ascii="Hind Regular" w:eastAsia="Times New Roman" w:hAnsi="Hind Regular" w:cs="Times New Roman"/>
      <w:smallCaps/>
      <w:spacing w:val="20"/>
      <w:lang w:val="hu-HU" w:eastAsia="hu-HU"/>
    </w:rPr>
  </w:style>
  <w:style w:type="paragraph" w:customStyle="1" w:styleId="cm4">
    <w:name w:val="cím_4"/>
    <w:basedOn w:val="Norml"/>
    <w:next w:val="Norml"/>
    <w:rsid w:val="00CF73CE"/>
    <w:pPr>
      <w:widowControl/>
      <w:numPr>
        <w:ilvl w:val="3"/>
        <w:numId w:val="2"/>
      </w:numPr>
      <w:spacing w:before="240"/>
      <w:jc w:val="both"/>
    </w:pPr>
    <w:rPr>
      <w:rFonts w:ascii="Hind Regular" w:eastAsia="Times New Roman" w:hAnsi="Hind Regular" w:cs="Times New Roman"/>
      <w:szCs w:val="24"/>
      <w:lang w:val="hu-HU" w:eastAsia="hu-HU"/>
    </w:rPr>
  </w:style>
  <w:style w:type="paragraph" w:customStyle="1" w:styleId="cm5">
    <w:name w:val="cím_5"/>
    <w:basedOn w:val="Norml"/>
    <w:next w:val="Norml"/>
    <w:rsid w:val="00CF73CE"/>
    <w:pPr>
      <w:widowControl/>
      <w:numPr>
        <w:ilvl w:val="4"/>
        <w:numId w:val="2"/>
      </w:numPr>
      <w:spacing w:before="240"/>
      <w:jc w:val="both"/>
    </w:pPr>
    <w:rPr>
      <w:rFonts w:ascii="Hind Regular" w:eastAsia="Batang" w:hAnsi="Hind Regular" w:cs="Times New Roman"/>
      <w:i/>
      <w:szCs w:val="24"/>
      <w:lang w:val="hu-HU" w:eastAsia="hu-HU"/>
    </w:rPr>
  </w:style>
  <w:style w:type="paragraph" w:customStyle="1" w:styleId="cm2">
    <w:name w:val="cím_2"/>
    <w:basedOn w:val="Norml"/>
    <w:next w:val="Norml"/>
    <w:rsid w:val="00CF73CE"/>
    <w:pPr>
      <w:widowControl/>
      <w:numPr>
        <w:ilvl w:val="1"/>
        <w:numId w:val="2"/>
      </w:numPr>
      <w:spacing w:before="240"/>
      <w:jc w:val="both"/>
    </w:pPr>
    <w:rPr>
      <w:rFonts w:ascii="Hind Regular" w:eastAsia="Times New Roman" w:hAnsi="Hind Regular" w:cs="Times New Roman"/>
      <w:b/>
      <w:smallCaps/>
      <w:spacing w:val="20"/>
      <w:sz w:val="26"/>
      <w:szCs w:val="26"/>
      <w:lang w:val="hu-HU" w:eastAsia="hu-HU"/>
    </w:rPr>
  </w:style>
  <w:style w:type="paragraph" w:customStyle="1" w:styleId="Cm1">
    <w:name w:val="Cím_1"/>
    <w:basedOn w:val="Norml"/>
    <w:next w:val="Norml"/>
    <w:rsid w:val="00CF73CE"/>
    <w:pPr>
      <w:widowControl/>
      <w:numPr>
        <w:numId w:val="2"/>
      </w:numPr>
      <w:spacing w:before="120"/>
      <w:ind w:left="431" w:hanging="431"/>
    </w:pPr>
    <w:rPr>
      <w:rFonts w:ascii="Hind Regular" w:eastAsia="Times New Roman" w:hAnsi="Hind Regular" w:cs="Times New Roman"/>
      <w:b/>
      <w:smallCaps/>
      <w:spacing w:val="20"/>
      <w:sz w:val="28"/>
      <w:szCs w:val="28"/>
      <w:lang w:val="hu-HU" w:eastAsia="hu-HU"/>
    </w:rPr>
  </w:style>
  <w:style w:type="table" w:styleId="Rcsostblzat">
    <w:name w:val="Table Grid"/>
    <w:basedOn w:val="Normltblzat"/>
    <w:uiPriority w:val="59"/>
    <w:rsid w:val="00CD284B"/>
    <w:pPr>
      <w:widowControl/>
      <w:spacing w:after="0" w:line="240" w:lineRule="auto"/>
    </w:pPr>
    <w:rPr>
      <w:rFonts w:eastAsiaTheme="minorEastAsia" w:cstheme="minorBidi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uiPriority w:val="99"/>
    <w:unhideWhenUsed/>
    <w:rsid w:val="00D06E38"/>
    <w:pPr>
      <w:widowControl/>
      <w:ind w:left="360"/>
      <w:contextualSpacing/>
      <w:jc w:val="both"/>
    </w:pPr>
    <w:rPr>
      <w:rFonts w:ascii="Verdana" w:hAnsi="Verdana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B8FB-0BD7-4EEB-8642-3E69816A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1548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BISZ Zrt.</dc:creator>
  <cp:keywords/>
  <dc:description/>
  <cp:lastModifiedBy>Szakács Tamás</cp:lastModifiedBy>
  <cp:revision>3</cp:revision>
  <cp:lastPrinted>2022-06-09T10:08:00Z</cp:lastPrinted>
  <dcterms:created xsi:type="dcterms:W3CDTF">2024-03-18T13:49:00Z</dcterms:created>
  <dcterms:modified xsi:type="dcterms:W3CDTF">2024-03-18T13:50:00Z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2016-02-15T00:00:00Z</vt:filetime>
  </property>
</Properties>
</file>